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24C9" w14:textId="3203B694" w:rsidR="00A63200" w:rsidRDefault="00A63200" w:rsidP="008943AE">
      <w:pPr>
        <w:pStyle w:val="Title"/>
      </w:pPr>
      <w:r>
        <w:t>Case Study One</w:t>
      </w:r>
    </w:p>
    <w:p w14:paraId="5A14CBD2" w14:textId="32240B9C" w:rsidR="0010777E" w:rsidRPr="008943AE" w:rsidRDefault="0010777E" w:rsidP="008943AE">
      <w:pPr>
        <w:jc w:val="center"/>
        <w:rPr>
          <w:b/>
          <w:bCs/>
        </w:rPr>
      </w:pPr>
      <w:r w:rsidRPr="008943AE">
        <w:rPr>
          <w:b/>
          <w:bCs/>
        </w:rPr>
        <w:t>Stanton Elementary School Example</w:t>
      </w:r>
    </w:p>
    <w:p w14:paraId="6ADC27D4" w14:textId="77777777" w:rsidR="0010777E" w:rsidRPr="00A45D26" w:rsidRDefault="0010777E" w:rsidP="00A45D26">
      <w:pPr>
        <w:pStyle w:val="Heading2"/>
        <w:rPr>
          <w:rStyle w:val="Heading2Char"/>
          <w:b/>
        </w:rPr>
      </w:pPr>
      <w:r w:rsidRPr="00A45D26">
        <w:rPr>
          <w:rStyle w:val="Heading2Char"/>
          <w:b/>
        </w:rPr>
        <w:t>A School in Crisis</w:t>
      </w:r>
    </w:p>
    <w:p w14:paraId="06F9D92C" w14:textId="09C95B45" w:rsidR="0010777E" w:rsidRDefault="0010777E" w:rsidP="0010777E">
      <w:r>
        <w:t>In June 2010, Carolyn John learned that she had been chosen as the new principal of Stanton Elementary School, a start-up charter school located in the Anacostia neighborhood in southeast Washington, DC. Stanton was rated the lowest-performing elementary school in the district (DCPS). At the end of the 2010 school year, only 15% of the students were proficient in math and a mere 9% were proficient in reading. One parent described the school this way: “These were elementary school kids, and they were running the school. Parents were disconnected, staff and families were battling one another, and many of the staff seemed not to care.” During the 2009–2010 school year, police were called to the elementary school on 24 occasions, and tensions and feelings of distrust were high between the school and parents. The school had been reconstituted two years earlier and now had been identified for school turnaround by DCPS. Opting for the federal school turnaround “restart” model, the DCPS selected Scholar Academies, a charter-school management organization, to partner with Principal John and her staff to transform the school.</w:t>
      </w:r>
    </w:p>
    <w:p w14:paraId="3D1CA765" w14:textId="68BA35AA" w:rsidR="0010777E" w:rsidRDefault="0010777E" w:rsidP="0010777E">
      <w:r>
        <w:t>Armed with a new, energetic teaching staff, Principal John began the 2010–2011 school year with a focus on improving instruction, implementing a new behavior management system, and improving the school culture. Principal John stated, “We started out with all the strategies that dominate the school reform conversation, and figured if we did all of those things, we would see drastic improvement in six to eight months.”  She said that she and her staff also scheduled all of the “boilerplate” family engagement events such as</w:t>
      </w:r>
      <w:r w:rsidRPr="0010777E">
        <w:t xml:space="preserve"> </w:t>
      </w:r>
      <w:r>
        <w:t>back-to-school nights, bake sales, parent–teacher conferences, cookouts, and school dances—none of which were well attended by parents.</w:t>
      </w:r>
    </w:p>
    <w:p w14:paraId="0F4EA8BC" w14:textId="009CC18D" w:rsidR="0010777E" w:rsidRDefault="0010777E" w:rsidP="0010777E">
      <w:r>
        <w:t>Despite these efforts, academic performance did not improve; in fact, test scores declined, and the school culture remained extremely problematic. Over 250 short-term suspensions were recorded within the first 25 weeks of school, parent attendance at parent–teacher conferences were 12%, and there were frequent incidents of hostility and disrespect between family and community members and staff.  Principal John stated that she spent over 90% of her time “putting out fires, literally and figuratively,” leaving little time to focus on teaching and learning. Staff were demoralized, with several stating that they went home each evening during the first year emotionally drained and distressed. Staff and parents refer to the 2010–2011 school year as “Year Zero” because of the lack of any real change at the school.</w:t>
      </w:r>
    </w:p>
    <w:p w14:paraId="77241CE7" w14:textId="2F2353C6" w:rsidR="0010777E" w:rsidRDefault="0010777E" w:rsidP="00643948">
      <w:pPr>
        <w:pStyle w:val="Heading2"/>
      </w:pPr>
      <w:r>
        <w:lastRenderedPageBreak/>
        <w:t>The Family Engagement Initiative at Stanton</w:t>
      </w:r>
    </w:p>
    <w:p w14:paraId="622B8B17" w14:textId="1091D2E7" w:rsidR="0010777E" w:rsidRDefault="0010777E" w:rsidP="0010777E">
      <w:r>
        <w:t>In the spring of 2011, the Flamboyan Foundation</w:t>
      </w:r>
      <w:r w:rsidRPr="0010777E">
        <w:t xml:space="preserve"> </w:t>
      </w:r>
      <w:r>
        <w:t xml:space="preserve">partnered with DCPS’s Office of Family and Public Engagement to initiate a family engagement pilot program with a small number of schools. Schools were chosen for the initiative based on criteria that emphasized the school leader’s commitment to make family engagement part of the school’s core improvement strategy, their strength as an instructional leader, and their ability to make positive changes in the culture and climate of the school. Stanton was one of the schools chosen for the pilot. In the spring and summer of 2011, using SIG (School Improvement Grant) funding and a grant from the Flamboyan Foundation to support the initiative, the staff received training on two components of the pilot program: the Parent–Teacher Home Visit Project from Sacramento, California and the Academic Parent–Teacher Team model from Creighton, Arizona.  </w:t>
      </w:r>
    </w:p>
    <w:p w14:paraId="58396F58" w14:textId="7951AA4B" w:rsidR="0010777E" w:rsidRDefault="0010777E" w:rsidP="0010777E">
      <w:r>
        <w:t xml:space="preserve">Under the Parent–Teacher Home Visit Project (PTH-VP), teachers and other school staff visit families with the goal of building relationships of trust and respect between home and school. These visits provide opportunities for educators to spend time in the neighborhoods in which they work and to listen to the perspectives of community members. The visits are not designed to be assessments of families; rather, they are relational in nature and are specifically designed to be respectful of families’ assets and strengths and to build the capacity of both the educator and the family to support the academic and social success of every student. Teachers begin the home visit conversations by asking families to share their hopes and dreams for their child as well as information about their child’s strengths and possible challenges. </w:t>
      </w:r>
    </w:p>
    <w:p w14:paraId="2E717A42" w14:textId="6C69FE3B" w:rsidR="0010777E" w:rsidRDefault="0010777E" w:rsidP="0010777E">
      <w:r>
        <w:t>After their training by the Sacramento PTHVP team in the summer of 2011, Stanton teachers began conducting home visits to the families of their students. The staff set a goal of conducting 200 home visits by October 1; they exceeded their goal by completing 231 visits by their deadline. Stanton’s parents said that the home visits changed everything about the previous relationships between home and school. Parent Nadia Williams stated, “</w:t>
      </w:r>
      <w:r w:rsidRPr="00643948">
        <w:rPr>
          <w:i/>
          <w:iCs/>
        </w:rPr>
        <w:t>the staff are so welcoming and inviting now, everyone greets parents when we come into the school. I’ve never had such positive relationships with school staff like I have here at Stanton</w:t>
      </w:r>
      <w:r>
        <w:t xml:space="preserve">.” Parents also stated that new positive energy at the school allowed them to shed any defensiveness they had previously felt when they interacted with staff. This then opened the parents up to listening to and learning from teachers and administrators. </w:t>
      </w:r>
    </w:p>
    <w:p w14:paraId="4A23E90E" w14:textId="28B5EF8D" w:rsidR="00E41D22" w:rsidRDefault="0010777E" w:rsidP="0010777E">
      <w:r>
        <w:t xml:space="preserve">Parent Katrina Grant described the immediate impact of the home visit on her relationship with staff and her interactions with them: </w:t>
      </w:r>
      <w:r w:rsidR="00643948">
        <w:t>“</w:t>
      </w:r>
      <w:r w:rsidRPr="00643948">
        <w:rPr>
          <w:i/>
          <w:iCs/>
        </w:rPr>
        <w:t xml:space="preserve">What made me more engaged was the home visit. When they first called about the home visit, first, I was skeptical. I thought it was a CPS (Child Protection Services) visit. For the teachers to take the initiative, to come to my area where I live and have no problem with it, to sit in my living room, and ask about me and my child, that really meant something to me. It meant that this person is going to be my partner, and we were going </w:t>
      </w:r>
      <w:r w:rsidRPr="00643948">
        <w:rPr>
          <w:i/>
          <w:iCs/>
        </w:rPr>
        <w:lastRenderedPageBreak/>
        <w:t>to work together, and she cares for my child. The whole time we discussed my child. For me, that was the first engagement that signaled a change for me.</w:t>
      </w:r>
      <w:r w:rsidR="00643948" w:rsidRPr="00643948">
        <w:rPr>
          <w:i/>
          <w:iCs/>
        </w:rPr>
        <w:t xml:space="preserve"> </w:t>
      </w:r>
      <w:r w:rsidRPr="00643948">
        <w:rPr>
          <w:i/>
          <w:iCs/>
        </w:rPr>
        <w:t>Before, I used to always be on my guard and feeling defensive. I’m not defensive anymore. I really appreciate that—by my not being defensive, it allows me to take in information. At one time, I was so defensive I wouldn’t hear a thing. Now, I trust when my children are here that they are in good hands. The staff has welcomed me to the point that now that they can say anything and tell me things, and I’ll feel okay about it</w:t>
      </w:r>
      <w:r>
        <w:t>.</w:t>
      </w:r>
      <w:r w:rsidR="00643948">
        <w:t>”</w:t>
      </w:r>
    </w:p>
    <w:p w14:paraId="451D712A" w14:textId="0CE84437" w:rsidR="0010777E" w:rsidRDefault="0010777E" w:rsidP="0010777E">
      <w:r w:rsidRPr="0010777E">
        <w:t>Parent Ellen Little made the distinction between the PTHVP home visits and other home visits she had received in the past:</w:t>
      </w:r>
      <w:r>
        <w:t xml:space="preserve"> </w:t>
      </w:r>
      <w:r w:rsidR="00643948">
        <w:t>“</w:t>
      </w:r>
      <w:r w:rsidR="00643948" w:rsidRPr="00643948">
        <w:rPr>
          <w:i/>
          <w:iCs/>
        </w:rPr>
        <w:t>T</w:t>
      </w:r>
      <w:r w:rsidRPr="00643948">
        <w:rPr>
          <w:i/>
          <w:iCs/>
        </w:rPr>
        <w:t>o make a long story short, that home visit was the best visit of my life. Now, the teacher and I are so connected. I really appreciate these home visits; when I was coming up, we received home visits, but they were for CPS or they were for attendance issues. Home visits were for a lot of negative issues and so there are a lot of negative connotations around the idea of home visits. I’m glad that is changing</w:t>
      </w:r>
      <w:r w:rsidRPr="0010777E">
        <w:t>.</w:t>
      </w:r>
      <w:r w:rsidR="00643948">
        <w:t>”</w:t>
      </w:r>
      <w:r>
        <w:t xml:space="preserve"> Teachers commented that the effect of the summer and early fall home visits was felt “instantly.” Teacher Melissa Bryant commented, “</w:t>
      </w:r>
      <w:r w:rsidRPr="00643948">
        <w:rPr>
          <w:i/>
          <w:iCs/>
        </w:rPr>
        <w:t>We really saw the impact of the home visits at our first back-to-school night in September. We had set up a small number of chairs because of our usual low attendance, but then parents kept coming and coming. We had to run and get more chairs, and the next thing we knew, staff had to give up their seats for parents</w:t>
      </w:r>
      <w:r>
        <w:t>.” Teachers also stated how the home visits profoundly changed their perceptions of Stanton’s parents. “</w:t>
      </w:r>
      <w:r w:rsidRPr="00643948">
        <w:rPr>
          <w:i/>
          <w:iCs/>
        </w:rPr>
        <w:t>I used to put parents in boxes based on their engagement levels</w:t>
      </w:r>
      <w:r>
        <w:t xml:space="preserve">,” stated Bryant. </w:t>
      </w:r>
    </w:p>
    <w:p w14:paraId="158B4295" w14:textId="61FA94E5" w:rsidR="0010777E" w:rsidRDefault="0010777E" w:rsidP="0010777E">
      <w:r>
        <w:t>“</w:t>
      </w:r>
      <w:r w:rsidRPr="00643948">
        <w:rPr>
          <w:i/>
          <w:iCs/>
        </w:rPr>
        <w:t>I learned from the home visits that all parents care about their children’s education. . .. If parents don’t help with academics, it’s because they don’t know how, not that they don’t care.</w:t>
      </w:r>
      <w:r>
        <w:t xml:space="preserve">” </w:t>
      </w:r>
    </w:p>
    <w:p w14:paraId="1A861E4E" w14:textId="4A98F8C4" w:rsidR="0010777E" w:rsidRDefault="0010777E" w:rsidP="0010777E">
      <w:r>
        <w:t>As staff began to develop relationships of trust and respect with families through the home visits, the second phase of the initiative was introduced: Academic Parent–Teacher Teams (APTT). The APTT model, developed by Dr. Maria Paredes, repurposes traditional parent–teacher conferences with a focus on group learning and collaboration. Family members of all the children in a single class meet together with the teacher three times a year for 75 minutes, along with a single 30-minute individual parent–teacher conference. The APTT initiative provides a structure for parents to meet with teachers and converse, build networks with other parents, and learn ways to support their child’s academic skill development. The objectives of the APTT model include increasing parents’ efficacy and confidence to support student learning and building school faculty capacity to work effectively with families.</w:t>
      </w:r>
    </w:p>
    <w:p w14:paraId="1C9ADD76" w14:textId="77777777" w:rsidR="00643948" w:rsidRDefault="0010777E" w:rsidP="0010777E">
      <w:r>
        <w:t xml:space="preserve">Team meetings usually begin with icebreakers and time to </w:t>
      </w:r>
      <w:r w:rsidRPr="0010777E">
        <w:t xml:space="preserve">celebrate the progress that students have made. Parents share with teachers and with one another the areas their child is struggling with, and the successful strategies they have been using to support their child’s learning. Teachers, in turn, explain what knowledge and skills the students are expected to master at </w:t>
      </w:r>
      <w:r w:rsidRPr="0010777E">
        <w:lastRenderedPageBreak/>
        <w:t>each grade level. They present academic performance data for the entire class and give parents individual information about their own child’s performance. Teachers then model activities that parents can do at home with their child and assist parents in setting goals for their child’s progress.</w:t>
      </w:r>
    </w:p>
    <w:p w14:paraId="29E26D6E" w14:textId="77777777" w:rsidR="00643948" w:rsidRDefault="0010777E" w:rsidP="0010777E">
      <w:r w:rsidRPr="0010777E">
        <w:t xml:space="preserve"> Stanton staff ran APTT meetings in the fall, focusing on reading and math goals for the year. Parents were given materials and a chance to learn and practice activities they could do with their children at home to help them master specific math and reading skills. These meetings were both interactive and collaborative; parents worked together with one another and with teachers to share techniques, practice activities, and celebrate success. Teachers found that these meetings not only served as a way to support parents, but as a way to inform their own teaching. They commented that they learned new skills from parents that they could use in their classroom instruction.</w:t>
      </w:r>
      <w:r>
        <w:t xml:space="preserve"> </w:t>
      </w:r>
    </w:p>
    <w:p w14:paraId="2C87649E" w14:textId="77777777" w:rsidR="00643948" w:rsidRDefault="0010777E" w:rsidP="0010777E">
      <w:r w:rsidRPr="0010777E">
        <w:t>By the end of the 2012 school year, Stanton increased their math scores by more than 18 percentage points and reading scores by more than 9 percentage points.</w:t>
      </w:r>
      <w:r>
        <w:t xml:space="preserve"> </w:t>
      </w:r>
      <w:r w:rsidRPr="0010777E">
        <w:t xml:space="preserve">During the 2011–2012 school year, the Stanton staff conducted a total of 450 home visits and scheduled 30 APTT meetings for families. During the previous year, only 12% of the families had attended parent–teacher conferences. In 2011–2012, approximately 55% of the parents attended all three APTT meetings. By the end of the 2012 school year, Stanton increased their math scores by more than 18 percentage points and reading scores by more than 9 percentage points. These increases were brought about through strategic interventions such as improving school culture, focusing on rigorous instruction, and through their new model of family engagement.26 School staff specifically point to the shift from a focus on behavior to a focus on academics as key in the building of new relationships of trust and respect between home and school. </w:t>
      </w:r>
    </w:p>
    <w:p w14:paraId="2BF5DDCB" w14:textId="582868C8" w:rsidR="0010777E" w:rsidRDefault="0010777E" w:rsidP="0010777E">
      <w:r w:rsidRPr="0010777E">
        <w:t>Teachers and families now describe Stanton as a “joyous place” where families, community members, and school staff work as a team to improve student achievement. Teacher Sheryl Garner discussed the shared responsibility and reciprocal relationships that have developed between her and the parents of the children in her classroom:</w:t>
      </w:r>
      <w:r>
        <w:t xml:space="preserve"> </w:t>
      </w:r>
      <w:r w:rsidR="00643948">
        <w:t>“</w:t>
      </w:r>
      <w:r w:rsidRPr="00643948">
        <w:rPr>
          <w:i/>
          <w:iCs/>
        </w:rPr>
        <w:t>As a result of the home visits and the relationship building, parents meet up to the expectations that teachers have for parents, and then teachers meet up to the expectations that parents have for teachers. I know what the parent wants for their child, and they know what I want from their child and from them. I do my part, they do their part, and then the child does their part. We become the team</w:t>
      </w:r>
      <w:r>
        <w:t>.</w:t>
      </w:r>
      <w:r w:rsidR="00643948">
        <w:t>”</w:t>
      </w:r>
    </w:p>
    <w:p w14:paraId="4BCEC398" w14:textId="77777777" w:rsidR="0010777E" w:rsidRDefault="0010777E" w:rsidP="00643948">
      <w:pPr>
        <w:pStyle w:val="Heading2"/>
      </w:pPr>
      <w:r>
        <w:t>Conclusion</w:t>
      </w:r>
    </w:p>
    <w:p w14:paraId="500AF0A6" w14:textId="2148A80F" w:rsidR="0010777E" w:rsidRDefault="0010777E" w:rsidP="0010777E">
      <w:r>
        <w:t>The Stanton case provides a promising example of how building the capacity of both school staff and families to work in partnership, in combination with the other “essential supports” required for school improvement—effective leadership, the professional capacity of staff, a student-centered learning climate, and instructional support and guidance—can lead to</w:t>
      </w:r>
      <w:r w:rsidRPr="0010777E">
        <w:t xml:space="preserve"> dramatic shifts </w:t>
      </w:r>
      <w:r w:rsidRPr="0010777E">
        <w:lastRenderedPageBreak/>
        <w:t>in the culture and climate of a school  and in the academic outcomes for children. Principal John stated, “</w:t>
      </w:r>
      <w:r w:rsidRPr="00643948">
        <w:rPr>
          <w:i/>
          <w:iCs/>
        </w:rPr>
        <w:t>The work of family engagement is particularly important to me, my staff, and our community because experience has taught us that the adults in a school building alone cannot drive dramatic change by themselves</w:t>
      </w:r>
      <w:r w:rsidRPr="0010777E">
        <w:t>.”</w:t>
      </w:r>
    </w:p>
    <w:p w14:paraId="0AF1C979" w14:textId="77777777" w:rsidR="00643948" w:rsidRDefault="00643948" w:rsidP="0010777E"/>
    <w:p w14:paraId="192AB180" w14:textId="19FB46AB" w:rsidR="00643948" w:rsidRDefault="00643948" w:rsidP="0010777E">
      <w:r>
        <w:t>Case Study from: U</w:t>
      </w:r>
      <w:r w:rsidRPr="00643948">
        <w:t xml:space="preserve">.S. Department of Education &amp; Southwest Educational Development Laboratory. (2013). </w:t>
      </w:r>
      <w:r w:rsidRPr="00643948">
        <w:rPr>
          <w:i/>
          <w:iCs/>
        </w:rPr>
        <w:t>Partners in education: A dual capacity-building framework for family–school partnerships</w:t>
      </w:r>
      <w:r w:rsidRPr="00643948">
        <w:t xml:space="preserve"> (Contract No. ED-04-CO-0039/0001). U.S. Department of Education.</w:t>
      </w:r>
    </w:p>
    <w:sectPr w:rsidR="0064394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3D52" w14:textId="77777777" w:rsidR="0023072E" w:rsidRDefault="0023072E" w:rsidP="0023072E">
      <w:pPr>
        <w:spacing w:after="0" w:line="240" w:lineRule="auto"/>
      </w:pPr>
      <w:r>
        <w:separator/>
      </w:r>
    </w:p>
  </w:endnote>
  <w:endnote w:type="continuationSeparator" w:id="0">
    <w:p w14:paraId="28566674" w14:textId="77777777" w:rsidR="0023072E" w:rsidRDefault="0023072E" w:rsidP="00230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3742" w14:textId="6E0C913B" w:rsidR="0023072E" w:rsidRPr="00593037" w:rsidRDefault="0023072E" w:rsidP="0023072E">
    <w:pPr>
      <w:pStyle w:val="Footer"/>
      <w:pBdr>
        <w:top w:val="single" w:sz="4" w:space="1" w:color="auto"/>
      </w:pBdr>
      <w:rPr>
        <w:rFonts w:cs="Calibri"/>
      </w:rPr>
    </w:pPr>
    <w:proofErr w:type="spellStart"/>
    <w:r w:rsidRPr="00593037">
      <w:rPr>
        <w:rFonts w:cs="Calibri"/>
      </w:rPr>
      <w:t>MoEdu</w:t>
    </w:r>
    <w:proofErr w:type="spellEnd"/>
    <w:r w:rsidRPr="00593037">
      <w:rPr>
        <w:rFonts w:cs="Calibri"/>
      </w:rPr>
      <w:t xml:space="preserve">-SAIL, </w:t>
    </w:r>
    <w:r>
      <w:rPr>
        <w:rFonts w:cs="Calibri"/>
      </w:rPr>
      <w:t xml:space="preserve">Family-School Partnerships 1.4 Case Study </w:t>
    </w:r>
    <w:r w:rsidR="00A63200">
      <w:rPr>
        <w:rFonts w:cs="Calibri"/>
      </w:rPr>
      <w:t>One</w:t>
    </w:r>
    <w:r>
      <w:rPr>
        <w:rFonts w:cs="Calibri"/>
      </w:rPr>
      <w:tab/>
    </w:r>
    <w:r w:rsidRPr="00593037">
      <w:rPr>
        <w:rFonts w:cs="Calibri"/>
      </w:rPr>
      <w:t xml:space="preserve"> 202</w:t>
    </w:r>
    <w:r>
      <w:rPr>
        <w:rFonts w:cs="Calibri"/>
      </w:rPr>
      <w:t>6</w:t>
    </w:r>
  </w:p>
  <w:p w14:paraId="6ED0D9B9" w14:textId="3A7283F5" w:rsidR="0023072E" w:rsidRPr="0023072E" w:rsidRDefault="0023072E" w:rsidP="0023072E">
    <w:pPr>
      <w:pStyle w:val="Footer"/>
      <w:tabs>
        <w:tab w:val="clear" w:pos="4680"/>
      </w:tabs>
      <w:rPr>
        <w:rFonts w:cs="Calibri"/>
      </w:rPr>
    </w:pPr>
    <w:r w:rsidRPr="0034392E">
      <w:rPr>
        <w:rFonts w:cs="Calibri"/>
      </w:rPr>
      <w:t>This work is</w:t>
    </w:r>
    <w:r>
      <w:rPr>
        <w:rFonts w:cs="Calibri"/>
      </w:rPr>
      <w:t xml:space="preserve"> </w:t>
    </w:r>
    <w:r w:rsidRPr="0034392E">
      <w:rPr>
        <w:rFonts w:cs="Calibri"/>
      </w:rPr>
      <w:t>licensed via</w:t>
    </w:r>
    <w:r>
      <w:rPr>
        <w:rFonts w:cs="Calibri"/>
      </w:rPr>
      <w:t xml:space="preserve"> </w:t>
    </w:r>
    <w:hyperlink r:id="rId1" w:history="1">
      <w:r w:rsidRPr="00593037">
        <w:rPr>
          <w:rStyle w:val="Hyperlink"/>
          <w:rFonts w:cs="Calibri"/>
        </w:rPr>
        <w:t>CC BY-NC-ND 4.0</w:t>
      </w:r>
    </w:hyperlink>
    <w:r w:rsidRPr="00593037">
      <w:rPr>
        <w:rFonts w:cs="Calibri"/>
      </w:rPr>
      <w:tab/>
      <w:t xml:space="preserve">Page </w:t>
    </w:r>
    <w:r w:rsidRPr="00593037">
      <w:rPr>
        <w:rFonts w:cs="Calibri"/>
      </w:rPr>
      <w:fldChar w:fldCharType="begin"/>
    </w:r>
    <w:r w:rsidRPr="00593037">
      <w:rPr>
        <w:rFonts w:cs="Calibri"/>
      </w:rPr>
      <w:instrText xml:space="preserve"> PAGE   \* MERGEFORMAT </w:instrText>
    </w:r>
    <w:r w:rsidRPr="00593037">
      <w:rPr>
        <w:rFonts w:cs="Calibri"/>
      </w:rPr>
      <w:fldChar w:fldCharType="separate"/>
    </w:r>
    <w:r>
      <w:rPr>
        <w:rFonts w:cs="Calibri"/>
      </w:rPr>
      <w:t>1</w:t>
    </w:r>
    <w:r w:rsidRPr="00593037">
      <w:rPr>
        <w:rFonts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3EA2" w14:textId="77777777" w:rsidR="0023072E" w:rsidRDefault="0023072E" w:rsidP="0023072E">
      <w:pPr>
        <w:spacing w:after="0" w:line="240" w:lineRule="auto"/>
      </w:pPr>
      <w:r>
        <w:separator/>
      </w:r>
    </w:p>
  </w:footnote>
  <w:footnote w:type="continuationSeparator" w:id="0">
    <w:p w14:paraId="5446D535" w14:textId="77777777" w:rsidR="0023072E" w:rsidRDefault="0023072E" w:rsidP="002307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77E"/>
    <w:rsid w:val="00015F31"/>
    <w:rsid w:val="000B72C8"/>
    <w:rsid w:val="0010777E"/>
    <w:rsid w:val="0023072E"/>
    <w:rsid w:val="002847BF"/>
    <w:rsid w:val="00514CEA"/>
    <w:rsid w:val="00643948"/>
    <w:rsid w:val="008943AE"/>
    <w:rsid w:val="00943FFF"/>
    <w:rsid w:val="00A45D26"/>
    <w:rsid w:val="00A63200"/>
    <w:rsid w:val="00A81C82"/>
    <w:rsid w:val="00C05C1B"/>
    <w:rsid w:val="00CB4628"/>
    <w:rsid w:val="00DD1062"/>
    <w:rsid w:val="00E4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1378B"/>
  <w15:chartTrackingRefBased/>
  <w15:docId w15:val="{1C0148E2-54D6-8F47-8E8A-66BEC31B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3AE"/>
    <w:rPr>
      <w:rFonts w:ascii="Calibri" w:hAnsi="Calibri"/>
    </w:rPr>
  </w:style>
  <w:style w:type="paragraph" w:styleId="Heading1">
    <w:name w:val="heading 1"/>
    <w:basedOn w:val="Normal"/>
    <w:next w:val="Normal"/>
    <w:link w:val="Heading1Char"/>
    <w:uiPriority w:val="9"/>
    <w:qFormat/>
    <w:rsid w:val="00A63200"/>
    <w:pPr>
      <w:keepNext/>
      <w:keepLines/>
      <w:spacing w:before="360" w:after="80"/>
      <w:jc w:val="center"/>
      <w:outlineLvl w:val="0"/>
    </w:pPr>
    <w:rPr>
      <w:rFonts w:asciiTheme="majorHAnsi" w:eastAsiaTheme="majorEastAsia" w:hAnsiTheme="majorHAnsi" w:cstheme="majorBidi"/>
      <w:b/>
      <w:color w:val="000000" w:themeColor="text1"/>
      <w:sz w:val="36"/>
      <w:szCs w:val="40"/>
    </w:rPr>
  </w:style>
  <w:style w:type="paragraph" w:styleId="Heading2">
    <w:name w:val="heading 2"/>
    <w:basedOn w:val="Normal"/>
    <w:next w:val="Normal"/>
    <w:link w:val="Heading2Char"/>
    <w:uiPriority w:val="9"/>
    <w:unhideWhenUsed/>
    <w:qFormat/>
    <w:rsid w:val="00A45D26"/>
    <w:pPr>
      <w:keepNext/>
      <w:keepLines/>
      <w:spacing w:before="160" w:after="80"/>
      <w:outlineLvl w:val="1"/>
    </w:pPr>
    <w:rPr>
      <w:rFonts w:eastAsiaTheme="majorEastAsia" w:cstheme="majorBidi"/>
      <w:b/>
      <w:color w:val="000000" w:themeColor="text1"/>
      <w:szCs w:val="32"/>
    </w:rPr>
  </w:style>
  <w:style w:type="paragraph" w:styleId="Heading3">
    <w:name w:val="heading 3"/>
    <w:basedOn w:val="Normal"/>
    <w:next w:val="Normal"/>
    <w:link w:val="Heading3Char"/>
    <w:uiPriority w:val="9"/>
    <w:semiHidden/>
    <w:unhideWhenUsed/>
    <w:qFormat/>
    <w:rsid w:val="001077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7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77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77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7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7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7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200"/>
    <w:rPr>
      <w:rFonts w:asciiTheme="majorHAnsi" w:eastAsiaTheme="majorEastAsia" w:hAnsiTheme="majorHAnsi" w:cstheme="majorBidi"/>
      <w:b/>
      <w:color w:val="000000" w:themeColor="text1"/>
      <w:sz w:val="36"/>
      <w:szCs w:val="40"/>
    </w:rPr>
  </w:style>
  <w:style w:type="character" w:customStyle="1" w:styleId="Heading2Char">
    <w:name w:val="Heading 2 Char"/>
    <w:basedOn w:val="DefaultParagraphFont"/>
    <w:link w:val="Heading2"/>
    <w:uiPriority w:val="9"/>
    <w:rsid w:val="00A45D26"/>
    <w:rPr>
      <w:rFonts w:ascii="Calibri" w:eastAsiaTheme="majorEastAsia" w:hAnsi="Calibri" w:cstheme="majorBidi"/>
      <w:b/>
      <w:color w:val="000000" w:themeColor="text1"/>
      <w:szCs w:val="32"/>
    </w:rPr>
  </w:style>
  <w:style w:type="character" w:customStyle="1" w:styleId="Heading3Char">
    <w:name w:val="Heading 3 Char"/>
    <w:basedOn w:val="DefaultParagraphFont"/>
    <w:link w:val="Heading3"/>
    <w:uiPriority w:val="9"/>
    <w:semiHidden/>
    <w:rsid w:val="001077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7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77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7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77E"/>
    <w:rPr>
      <w:rFonts w:eastAsiaTheme="majorEastAsia" w:cstheme="majorBidi"/>
      <w:color w:val="272727" w:themeColor="text1" w:themeTint="D8"/>
    </w:rPr>
  </w:style>
  <w:style w:type="paragraph" w:styleId="Title">
    <w:name w:val="Title"/>
    <w:basedOn w:val="Normal"/>
    <w:next w:val="Normal"/>
    <w:link w:val="TitleChar"/>
    <w:uiPriority w:val="10"/>
    <w:qFormat/>
    <w:rsid w:val="008943AE"/>
    <w:pPr>
      <w:spacing w:after="80" w:line="240" w:lineRule="auto"/>
      <w:contextualSpacing/>
      <w:jc w:val="center"/>
    </w:pPr>
    <w:rPr>
      <w:rFonts w:asciiTheme="majorHAnsi" w:eastAsiaTheme="majorEastAsia" w:hAnsiTheme="majorHAnsi" w:cstheme="majorBidi"/>
      <w:b/>
      <w:spacing w:val="-10"/>
      <w:kern w:val="28"/>
      <w:sz w:val="28"/>
      <w:szCs w:val="56"/>
    </w:rPr>
  </w:style>
  <w:style w:type="character" w:customStyle="1" w:styleId="TitleChar">
    <w:name w:val="Title Char"/>
    <w:basedOn w:val="DefaultParagraphFont"/>
    <w:link w:val="Title"/>
    <w:uiPriority w:val="10"/>
    <w:rsid w:val="008943AE"/>
    <w:rPr>
      <w:rFonts w:asciiTheme="majorHAnsi" w:eastAsiaTheme="majorEastAsia" w:hAnsiTheme="majorHAnsi" w:cstheme="majorBidi"/>
      <w:b/>
      <w:spacing w:val="-10"/>
      <w:kern w:val="28"/>
      <w:sz w:val="28"/>
      <w:szCs w:val="56"/>
    </w:rPr>
  </w:style>
  <w:style w:type="paragraph" w:styleId="Subtitle">
    <w:name w:val="Subtitle"/>
    <w:basedOn w:val="Normal"/>
    <w:next w:val="Normal"/>
    <w:link w:val="SubtitleChar"/>
    <w:uiPriority w:val="11"/>
    <w:qFormat/>
    <w:rsid w:val="001077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77E"/>
    <w:pPr>
      <w:spacing w:before="160"/>
      <w:jc w:val="center"/>
    </w:pPr>
    <w:rPr>
      <w:i/>
      <w:iCs/>
      <w:color w:val="404040" w:themeColor="text1" w:themeTint="BF"/>
    </w:rPr>
  </w:style>
  <w:style w:type="character" w:customStyle="1" w:styleId="QuoteChar">
    <w:name w:val="Quote Char"/>
    <w:basedOn w:val="DefaultParagraphFont"/>
    <w:link w:val="Quote"/>
    <w:uiPriority w:val="29"/>
    <w:rsid w:val="0010777E"/>
    <w:rPr>
      <w:i/>
      <w:iCs/>
      <w:color w:val="404040" w:themeColor="text1" w:themeTint="BF"/>
    </w:rPr>
  </w:style>
  <w:style w:type="paragraph" w:styleId="ListParagraph">
    <w:name w:val="List Paragraph"/>
    <w:basedOn w:val="Normal"/>
    <w:uiPriority w:val="34"/>
    <w:qFormat/>
    <w:rsid w:val="0010777E"/>
    <w:pPr>
      <w:ind w:left="720"/>
      <w:contextualSpacing/>
    </w:pPr>
  </w:style>
  <w:style w:type="character" w:styleId="IntenseEmphasis">
    <w:name w:val="Intense Emphasis"/>
    <w:basedOn w:val="DefaultParagraphFont"/>
    <w:uiPriority w:val="21"/>
    <w:qFormat/>
    <w:rsid w:val="0010777E"/>
    <w:rPr>
      <w:i/>
      <w:iCs/>
      <w:color w:val="0F4761" w:themeColor="accent1" w:themeShade="BF"/>
    </w:rPr>
  </w:style>
  <w:style w:type="paragraph" w:styleId="IntenseQuote">
    <w:name w:val="Intense Quote"/>
    <w:basedOn w:val="Normal"/>
    <w:next w:val="Normal"/>
    <w:link w:val="IntenseQuoteChar"/>
    <w:uiPriority w:val="30"/>
    <w:qFormat/>
    <w:rsid w:val="001077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77E"/>
    <w:rPr>
      <w:i/>
      <w:iCs/>
      <w:color w:val="0F4761" w:themeColor="accent1" w:themeShade="BF"/>
    </w:rPr>
  </w:style>
  <w:style w:type="character" w:styleId="IntenseReference">
    <w:name w:val="Intense Reference"/>
    <w:basedOn w:val="DefaultParagraphFont"/>
    <w:uiPriority w:val="32"/>
    <w:qFormat/>
    <w:rsid w:val="0010777E"/>
    <w:rPr>
      <w:b/>
      <w:bCs/>
      <w:smallCaps/>
      <w:color w:val="0F4761" w:themeColor="accent1" w:themeShade="BF"/>
      <w:spacing w:val="5"/>
    </w:rPr>
  </w:style>
  <w:style w:type="paragraph" w:styleId="Header">
    <w:name w:val="header"/>
    <w:basedOn w:val="Normal"/>
    <w:link w:val="HeaderChar"/>
    <w:uiPriority w:val="99"/>
    <w:unhideWhenUsed/>
    <w:rsid w:val="002307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72E"/>
  </w:style>
  <w:style w:type="paragraph" w:styleId="Footer">
    <w:name w:val="footer"/>
    <w:basedOn w:val="Normal"/>
    <w:link w:val="FooterChar"/>
    <w:uiPriority w:val="99"/>
    <w:unhideWhenUsed/>
    <w:rsid w:val="00230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72E"/>
  </w:style>
  <w:style w:type="character" w:styleId="Hyperlink">
    <w:name w:val="Hyperlink"/>
    <w:basedOn w:val="DefaultParagraphFont"/>
    <w:uiPriority w:val="99"/>
    <w:semiHidden/>
    <w:unhideWhenUsed/>
    <w:rsid w:val="002307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nd/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1D629-D30B-467F-A436-1C43B07AC844}">
  <ds:schemaRefs>
    <ds:schemaRef ds:uri="http://schemas.microsoft.com/office/2006/metadata/properties"/>
    <ds:schemaRef ds:uri="http://schemas.microsoft.com/office/infopath/2007/PartnerControls"/>
    <ds:schemaRef ds:uri="bc1253f3-7ed0-403d-91ae-a3ec36b7534c"/>
    <ds:schemaRef ds:uri="abf19523-dd3e-44b4-aa5b-ebc923d065a5"/>
  </ds:schemaRefs>
</ds:datastoreItem>
</file>

<file path=customXml/itemProps2.xml><?xml version="1.0" encoding="utf-8"?>
<ds:datastoreItem xmlns:ds="http://schemas.openxmlformats.org/officeDocument/2006/customXml" ds:itemID="{6362BE07-155E-4484-901F-1C69B0681290}">
  <ds:schemaRefs>
    <ds:schemaRef ds:uri="http://schemas.microsoft.com/sharepoint/v3/contenttype/forms"/>
  </ds:schemaRefs>
</ds:datastoreItem>
</file>

<file path=customXml/itemProps3.xml><?xml version="1.0" encoding="utf-8"?>
<ds:datastoreItem xmlns:ds="http://schemas.openxmlformats.org/officeDocument/2006/customXml" ds:itemID="{B42E59AD-48C4-4260-A8C8-1F29AAD4C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f19523-dd3e-44b4-aa5b-ebc923d065a5"/>
    <ds:schemaRef ds:uri="bc1253f3-7ed0-403d-91ae-a3ec36b753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d49e9f-89e1-4aa0-99a3-d35b57b2ba03}" enabled="0" method="" siteId="{27d49e9f-89e1-4aa0-99a3-d35b57b2ba0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1530</Words>
  <Characters>11281</Characters>
  <Application>Microsoft Office Word</Application>
  <DocSecurity>0</DocSecurity>
  <Lines>537</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Chelie A Nelson</dc:creator>
  <cp:keywords/>
  <dc:description/>
  <cp:lastModifiedBy>Nicole Stone</cp:lastModifiedBy>
  <cp:revision>2</cp:revision>
  <dcterms:created xsi:type="dcterms:W3CDTF">2026-03-02T16:11:00Z</dcterms:created>
  <dcterms:modified xsi:type="dcterms:W3CDTF">2026-03-02T16:11:00Z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y fmtid="{D5CDD505-2E9C-101B-9397-08002B2CF9AE}" pid="3" name="MediaServiceImageTags">
    <vt:lpwstr/>
  </property>
</Properties>
</file>